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BB6FC3" w:rsidTr="00BB6FC3">
        <w:tc>
          <w:tcPr>
            <w:tcW w:w="4889" w:type="dxa"/>
            <w:hideMark/>
          </w:tcPr>
          <w:p w:rsidR="00BB6FC3" w:rsidRDefault="00BB6FC3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>
                  <wp:extent cx="1581150" cy="1162050"/>
                  <wp:effectExtent l="19050" t="0" r="0" b="0"/>
                  <wp:docPr id="3" name="Immagine 1" descr="cid:image001.png@01D336BF.14D73D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336BF.14D73D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hideMark/>
          </w:tcPr>
          <w:p w:rsidR="00BB6FC3" w:rsidRDefault="00BB6FC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>
                  <wp:extent cx="1952625" cy="1247775"/>
                  <wp:effectExtent l="19050" t="0" r="9525" b="0"/>
                  <wp:docPr id="2" name="Immagine 2" descr="cid:image002.png@01D336BF.14D73D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336BF.14D73D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D2E" w:rsidRPr="00BB6FC3" w:rsidRDefault="00555D2E" w:rsidP="00555D2E">
      <w:pPr>
        <w:rPr>
          <w:rFonts w:ascii="Times New Roman" w:hAnsi="Times New Roman"/>
          <w:b/>
          <w:sz w:val="26"/>
          <w:szCs w:val="26"/>
        </w:rPr>
      </w:pPr>
      <w:r w:rsidRPr="00BB6FC3">
        <w:rPr>
          <w:rFonts w:ascii="Times New Roman" w:hAnsi="Times New Roman"/>
          <w:b/>
          <w:sz w:val="26"/>
          <w:szCs w:val="26"/>
        </w:rPr>
        <w:t>Milano 29 Settembre 2017</w:t>
      </w:r>
    </w:p>
    <w:p w:rsidR="00555D2E" w:rsidRPr="00BB6FC3" w:rsidRDefault="00555D2E" w:rsidP="00555D2E">
      <w:pPr>
        <w:rPr>
          <w:rFonts w:ascii="Times New Roman" w:hAnsi="Times New Roman"/>
          <w:b/>
          <w:i/>
          <w:sz w:val="26"/>
          <w:szCs w:val="26"/>
        </w:rPr>
      </w:pPr>
    </w:p>
    <w:p w:rsidR="00555D2E" w:rsidRPr="00BB6FC3" w:rsidRDefault="00555D2E" w:rsidP="00555D2E">
      <w:pPr>
        <w:rPr>
          <w:rFonts w:ascii="Times New Roman" w:hAnsi="Times New Roman"/>
          <w:b/>
          <w:bCs/>
          <w:sz w:val="26"/>
          <w:szCs w:val="26"/>
          <w:u w:val="single"/>
        </w:rPr>
      </w:pPr>
      <w:r w:rsidRPr="00BB6FC3">
        <w:rPr>
          <w:rFonts w:ascii="Times New Roman" w:hAnsi="Times New Roman"/>
          <w:b/>
          <w:bCs/>
          <w:sz w:val="26"/>
          <w:szCs w:val="26"/>
        </w:rPr>
        <w:t xml:space="preserve">COOPERATIVE 4.0 </w:t>
      </w:r>
      <w:r w:rsidRPr="00BB6FC3">
        <w:rPr>
          <w:rFonts w:ascii="Times New Roman" w:hAnsi="Times New Roman"/>
          <w:b/>
          <w:sz w:val="26"/>
          <w:szCs w:val="26"/>
        </w:rPr>
        <w:t>Progetto presentato nel corso di “La cooperazione nella trasformazione digitale del lavoro: tra innovazione e resilienza”.</w:t>
      </w:r>
    </w:p>
    <w:p w:rsidR="00EF78B8" w:rsidRPr="00BB6FC3" w:rsidRDefault="003B08D5" w:rsidP="00555D2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B6FC3">
        <w:rPr>
          <w:rFonts w:ascii="Times New Roman" w:hAnsi="Times New Roman"/>
          <w:b/>
          <w:sz w:val="26"/>
          <w:szCs w:val="26"/>
          <w:u w:val="single"/>
        </w:rPr>
        <w:t>Internet delle c</w:t>
      </w:r>
      <w:r w:rsidR="00D92FC6" w:rsidRPr="00BB6FC3">
        <w:rPr>
          <w:rFonts w:ascii="Times New Roman" w:hAnsi="Times New Roman"/>
          <w:b/>
          <w:sz w:val="26"/>
          <w:szCs w:val="26"/>
          <w:u w:val="single"/>
        </w:rPr>
        <w:t>ose al servizio del welfare 4.0</w:t>
      </w:r>
    </w:p>
    <w:p w:rsidR="00D92FC6" w:rsidRPr="00BB6FC3" w:rsidRDefault="00D92FC6" w:rsidP="00D92FC6">
      <w:pPr>
        <w:rPr>
          <w:rFonts w:ascii="Times New Roman" w:hAnsi="Times New Roman"/>
          <w:sz w:val="26"/>
          <w:szCs w:val="26"/>
        </w:rPr>
      </w:pPr>
    </w:p>
    <w:p w:rsidR="00D92FC6" w:rsidRPr="00BB6FC3" w:rsidRDefault="00D92FC6" w:rsidP="00D92FC6">
      <w:pPr>
        <w:jc w:val="center"/>
        <w:rPr>
          <w:rFonts w:ascii="Times New Roman" w:hAnsi="Times New Roman"/>
          <w:i/>
          <w:sz w:val="26"/>
          <w:szCs w:val="26"/>
        </w:rPr>
      </w:pPr>
      <w:r w:rsidRPr="00BB6FC3">
        <w:rPr>
          <w:rFonts w:ascii="Times New Roman" w:hAnsi="Times New Roman"/>
          <w:i/>
          <w:sz w:val="26"/>
          <w:szCs w:val="26"/>
        </w:rPr>
        <w:t>Monitorare in tempo reale le condizioni di salute degli anziani per limitare gli effetti patologie croniche riducendo i rischi per gli assistiti e i costi per il sistema sanitario</w:t>
      </w:r>
    </w:p>
    <w:p w:rsidR="00D92FC6" w:rsidRPr="00BB6FC3" w:rsidRDefault="00D92FC6" w:rsidP="00D92FC6">
      <w:pPr>
        <w:rPr>
          <w:rFonts w:ascii="Times New Roman" w:hAnsi="Times New Roman"/>
          <w:sz w:val="26"/>
          <w:szCs w:val="26"/>
        </w:rPr>
      </w:pPr>
    </w:p>
    <w:p w:rsidR="00EF78B8" w:rsidRPr="00BB6FC3" w:rsidRDefault="00D92FC6" w:rsidP="00D92FC6">
      <w:pPr>
        <w:rPr>
          <w:rFonts w:ascii="Times New Roman" w:hAnsi="Times New Roman"/>
          <w:sz w:val="26"/>
          <w:szCs w:val="26"/>
        </w:rPr>
      </w:pPr>
      <w:r w:rsidRPr="00BB6FC3">
        <w:rPr>
          <w:rFonts w:ascii="Times New Roman" w:hAnsi="Times New Roman"/>
          <w:sz w:val="26"/>
          <w:szCs w:val="26"/>
        </w:rPr>
        <w:t>C</w:t>
      </w:r>
      <w:r w:rsidR="00EF78B8" w:rsidRPr="00BB6FC3">
        <w:rPr>
          <w:rFonts w:ascii="Times New Roman" w:hAnsi="Times New Roman"/>
          <w:sz w:val="26"/>
          <w:szCs w:val="26"/>
        </w:rPr>
        <w:t>ontrastare la diffusione delle patologie croniche legate all’invecchiamento chiamando in soccorso quanto di meglio l’innovazione tecnol</w:t>
      </w:r>
      <w:r w:rsidR="00DE1EF6" w:rsidRPr="00BB6FC3">
        <w:rPr>
          <w:rFonts w:ascii="Times New Roman" w:hAnsi="Times New Roman"/>
          <w:sz w:val="26"/>
          <w:szCs w:val="26"/>
        </w:rPr>
        <w:t>o</w:t>
      </w:r>
      <w:r w:rsidR="00EF78B8" w:rsidRPr="00BB6FC3">
        <w:rPr>
          <w:rFonts w:ascii="Times New Roman" w:hAnsi="Times New Roman"/>
          <w:sz w:val="26"/>
          <w:szCs w:val="26"/>
        </w:rPr>
        <w:t xml:space="preserve">gica possa offrire. </w:t>
      </w:r>
    </w:p>
    <w:p w:rsidR="00EF78B8" w:rsidRPr="00BB6FC3" w:rsidRDefault="00EF78B8" w:rsidP="00D92FC6">
      <w:pPr>
        <w:rPr>
          <w:rFonts w:ascii="Times New Roman" w:hAnsi="Times New Roman"/>
          <w:sz w:val="26"/>
          <w:szCs w:val="26"/>
        </w:rPr>
      </w:pPr>
      <w:r w:rsidRPr="00BB6FC3">
        <w:rPr>
          <w:rFonts w:ascii="Times New Roman" w:hAnsi="Times New Roman"/>
          <w:sz w:val="26"/>
          <w:szCs w:val="26"/>
        </w:rPr>
        <w:t xml:space="preserve">E l’iniziativa a cui lavoreranno il consorzio </w:t>
      </w:r>
      <w:proofErr w:type="spellStart"/>
      <w:r w:rsidRPr="00BB6FC3">
        <w:rPr>
          <w:rFonts w:ascii="Times New Roman" w:hAnsi="Times New Roman"/>
          <w:sz w:val="26"/>
          <w:szCs w:val="26"/>
        </w:rPr>
        <w:t>Cgm</w:t>
      </w:r>
      <w:proofErr w:type="spellEnd"/>
      <w:r w:rsidRPr="00BB6FC3">
        <w:rPr>
          <w:rFonts w:ascii="Times New Roman" w:hAnsi="Times New Roman"/>
          <w:sz w:val="26"/>
          <w:szCs w:val="26"/>
        </w:rPr>
        <w:t>,</w:t>
      </w:r>
      <w:r w:rsidR="00D92FC6" w:rsidRPr="00BB6FC3">
        <w:rPr>
          <w:rFonts w:ascii="Times New Roman" w:hAnsi="Times New Roman"/>
          <w:sz w:val="26"/>
          <w:szCs w:val="26"/>
        </w:rPr>
        <w:t xml:space="preserve"> la più grande rete italiana di imprese sociali</w:t>
      </w:r>
      <w:r w:rsidR="0099391A" w:rsidRPr="00BB6FC3">
        <w:rPr>
          <w:rFonts w:ascii="Times New Roman" w:hAnsi="Times New Roman"/>
          <w:sz w:val="26"/>
          <w:szCs w:val="26"/>
        </w:rPr>
        <w:t xml:space="preserve"> dell’Alleanza delle Cooperative</w:t>
      </w:r>
      <w:r w:rsidR="00D92FC6" w:rsidRPr="00BB6FC3">
        <w:rPr>
          <w:rFonts w:ascii="Times New Roman" w:hAnsi="Times New Roman"/>
          <w:sz w:val="26"/>
          <w:szCs w:val="26"/>
        </w:rPr>
        <w:t>,</w:t>
      </w:r>
      <w:r w:rsidRPr="00BB6F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6FC3">
        <w:rPr>
          <w:rFonts w:ascii="Times New Roman" w:hAnsi="Times New Roman"/>
          <w:sz w:val="26"/>
          <w:szCs w:val="26"/>
        </w:rPr>
        <w:t>Node</w:t>
      </w:r>
      <w:proofErr w:type="spellEnd"/>
      <w:r w:rsidRPr="00BB6FC3">
        <w:rPr>
          <w:rFonts w:ascii="Times New Roman" w:hAnsi="Times New Roman"/>
          <w:sz w:val="26"/>
          <w:szCs w:val="26"/>
        </w:rPr>
        <w:t xml:space="preserve">, </w:t>
      </w:r>
      <w:r w:rsidR="0099391A" w:rsidRPr="00BB6FC3">
        <w:rPr>
          <w:rFonts w:ascii="Times New Roman" w:hAnsi="Times New Roman"/>
          <w:sz w:val="26"/>
          <w:szCs w:val="26"/>
        </w:rPr>
        <w:t xml:space="preserve">in qualità di partner tecnologico </w:t>
      </w:r>
      <w:bookmarkStart w:id="0" w:name="_GoBack"/>
      <w:bookmarkEnd w:id="0"/>
      <w:r w:rsidRPr="00BB6FC3">
        <w:rPr>
          <w:rFonts w:ascii="Times New Roman" w:hAnsi="Times New Roman"/>
          <w:sz w:val="26"/>
          <w:szCs w:val="26"/>
        </w:rPr>
        <w:t>e la fondazione Politecnico di Milano.</w:t>
      </w:r>
    </w:p>
    <w:p w:rsidR="00555D2E" w:rsidRPr="00BB6FC3" w:rsidRDefault="00555D2E" w:rsidP="00D92FC6">
      <w:pPr>
        <w:rPr>
          <w:rFonts w:ascii="Times New Roman" w:hAnsi="Times New Roman"/>
          <w:sz w:val="26"/>
          <w:szCs w:val="26"/>
        </w:rPr>
      </w:pPr>
    </w:p>
    <w:p w:rsidR="00EF78B8" w:rsidRPr="00BB6FC3" w:rsidRDefault="00EF78B8" w:rsidP="00D92FC6">
      <w:pPr>
        <w:rPr>
          <w:rFonts w:ascii="Times New Roman" w:eastAsia="Times New Roman" w:hAnsi="Times New Roman"/>
          <w:sz w:val="26"/>
          <w:szCs w:val="26"/>
        </w:rPr>
      </w:pPr>
      <w:r w:rsidRPr="00BB6FC3">
        <w:rPr>
          <w:rFonts w:ascii="Times New Roman" w:eastAsia="Times New Roman" w:hAnsi="Times New Roman"/>
          <w:sz w:val="26"/>
          <w:szCs w:val="26"/>
        </w:rPr>
        <w:t xml:space="preserve">L’invecchiamento della popolazione italiana è uno dei principali fenomeni socio-demografici degli ultimi anni che ha implicazioni in ambito sociale, culturale ed economico. Il 21% della popolazione italiana, 13,2 milioni, ha più di 65 anni, il 27% vive da solo. Il progressivo invecchiamento si stima che raggiungerà il suo apice non prima della decade 2050-2060. Con un quadro demografico con queste caratteristiche è inevitabile prevedere un aumento della domanda di assistenza che dovrà fare i conti con la contrazione delle risorse pubbliche. </w:t>
      </w:r>
    </w:p>
    <w:p w:rsidR="00EF78B8" w:rsidRPr="00BB6FC3" w:rsidRDefault="00EF78B8" w:rsidP="00D92FC6">
      <w:pPr>
        <w:rPr>
          <w:rFonts w:ascii="Times New Roman" w:hAnsi="Times New Roman"/>
          <w:b/>
          <w:sz w:val="26"/>
          <w:szCs w:val="26"/>
        </w:rPr>
      </w:pPr>
    </w:p>
    <w:p w:rsidR="00EF78B8" w:rsidRPr="00BB6FC3" w:rsidRDefault="00EF78B8" w:rsidP="00D92FC6">
      <w:pPr>
        <w:rPr>
          <w:rFonts w:ascii="Times New Roman" w:hAnsi="Times New Roman"/>
          <w:sz w:val="26"/>
          <w:szCs w:val="26"/>
        </w:rPr>
      </w:pPr>
      <w:r w:rsidRPr="00BB6FC3">
        <w:rPr>
          <w:rFonts w:ascii="Times New Roman" w:hAnsi="Times New Roman"/>
          <w:sz w:val="26"/>
          <w:szCs w:val="26"/>
        </w:rPr>
        <w:t>I dispositivi diagnostici connessi all’Internet delle Cose sono un</w:t>
      </w:r>
      <w:r w:rsidR="00D92FC6" w:rsidRPr="00BB6FC3">
        <w:rPr>
          <w:rFonts w:ascii="Times New Roman" w:hAnsi="Times New Roman"/>
          <w:sz w:val="26"/>
          <w:szCs w:val="26"/>
        </w:rPr>
        <w:t>o degli strumenti che permetteranno</w:t>
      </w:r>
      <w:r w:rsidRPr="00BB6FC3">
        <w:rPr>
          <w:rFonts w:ascii="Times New Roman" w:hAnsi="Times New Roman"/>
          <w:sz w:val="26"/>
          <w:szCs w:val="26"/>
        </w:rPr>
        <w:t xml:space="preserve"> di dare risposte puntuali ed efficaci</w:t>
      </w:r>
      <w:r w:rsidR="00DE1EF6" w:rsidRPr="00BB6FC3">
        <w:rPr>
          <w:rFonts w:ascii="Times New Roman" w:hAnsi="Times New Roman"/>
          <w:sz w:val="26"/>
          <w:szCs w:val="26"/>
        </w:rPr>
        <w:t xml:space="preserve"> tenendo conto dei vincoli di bilancio</w:t>
      </w:r>
      <w:r w:rsidR="00D92FC6" w:rsidRPr="00BB6FC3">
        <w:rPr>
          <w:rFonts w:ascii="Times New Roman" w:hAnsi="Times New Roman"/>
          <w:sz w:val="26"/>
          <w:szCs w:val="26"/>
        </w:rPr>
        <w:t xml:space="preserve">. </w:t>
      </w:r>
      <w:r w:rsidRPr="00BB6FC3">
        <w:rPr>
          <w:rFonts w:ascii="Times New Roman" w:hAnsi="Times New Roman"/>
          <w:sz w:val="26"/>
          <w:szCs w:val="26"/>
        </w:rPr>
        <w:t>Dalla diagnostica alla telemedicina, dalla gestione ed elaborazione dei dati biometrici al confronto tra medici, utenti ed operatori sociali, i dispositivi diagnostici costituiscono un’opportunità nel settore socio sanitario</w:t>
      </w:r>
      <w:r w:rsidR="00DE1EF6" w:rsidRPr="00BB6FC3">
        <w:rPr>
          <w:rFonts w:ascii="Times New Roman" w:hAnsi="Times New Roman"/>
          <w:sz w:val="26"/>
          <w:szCs w:val="26"/>
        </w:rPr>
        <w:t xml:space="preserve"> per diverse regioni</w:t>
      </w:r>
      <w:r w:rsidRPr="00BB6FC3">
        <w:rPr>
          <w:rFonts w:ascii="Times New Roman" w:hAnsi="Times New Roman"/>
          <w:sz w:val="26"/>
          <w:szCs w:val="26"/>
        </w:rPr>
        <w:t>. L’utilizzo della telemedicina per la necessità di ridurre i costi della sanità e migliorare la qualità di vita dei pazienti anziani o affetti da malattie croniche</w:t>
      </w:r>
      <w:r w:rsidR="00DE1EF6" w:rsidRPr="00BB6FC3">
        <w:rPr>
          <w:rFonts w:ascii="Times New Roman" w:hAnsi="Times New Roman"/>
          <w:sz w:val="26"/>
          <w:szCs w:val="26"/>
        </w:rPr>
        <w:t>,</w:t>
      </w:r>
      <w:r w:rsidRPr="00BB6FC3">
        <w:rPr>
          <w:rFonts w:ascii="Times New Roman" w:hAnsi="Times New Roman"/>
          <w:sz w:val="26"/>
          <w:szCs w:val="26"/>
        </w:rPr>
        <w:t xml:space="preserve"> sta dando un nuovo impulso all'innovazione e all'adozione di questi </w:t>
      </w:r>
      <w:r w:rsidR="00D92FC6" w:rsidRPr="00BB6FC3">
        <w:rPr>
          <w:rFonts w:ascii="Times New Roman" w:hAnsi="Times New Roman"/>
          <w:sz w:val="26"/>
          <w:szCs w:val="26"/>
        </w:rPr>
        <w:t>supporti tecnologici</w:t>
      </w:r>
      <w:r w:rsidR="00DE1EF6" w:rsidRPr="00BB6FC3">
        <w:rPr>
          <w:rFonts w:ascii="Times New Roman" w:hAnsi="Times New Roman"/>
          <w:sz w:val="26"/>
          <w:szCs w:val="26"/>
        </w:rPr>
        <w:t>;</w:t>
      </w:r>
      <w:r w:rsidR="00D92FC6" w:rsidRPr="00BB6FC3">
        <w:rPr>
          <w:rFonts w:ascii="Times New Roman" w:hAnsi="Times New Roman"/>
          <w:sz w:val="26"/>
          <w:szCs w:val="26"/>
        </w:rPr>
        <w:t xml:space="preserve"> </w:t>
      </w:r>
      <w:r w:rsidR="00DE1EF6" w:rsidRPr="00BB6FC3">
        <w:rPr>
          <w:rFonts w:ascii="Times New Roman" w:hAnsi="Times New Roman"/>
          <w:sz w:val="26"/>
          <w:szCs w:val="26"/>
        </w:rPr>
        <w:t>l</w:t>
      </w:r>
      <w:r w:rsidRPr="00BB6FC3">
        <w:rPr>
          <w:rFonts w:ascii="Times New Roman" w:hAnsi="Times New Roman"/>
          <w:sz w:val="26"/>
          <w:szCs w:val="26"/>
        </w:rPr>
        <w:t>’affinità digitale, cioè, la maggiore confidenza e predisposizione all'uso di tecnologie digitali da parte delle attuali generazioni di medici e pazienti;</w:t>
      </w:r>
      <w:r w:rsidR="00D92FC6" w:rsidRPr="00BB6FC3">
        <w:rPr>
          <w:rFonts w:ascii="Times New Roman" w:hAnsi="Times New Roman"/>
          <w:sz w:val="26"/>
          <w:szCs w:val="26"/>
        </w:rPr>
        <w:t xml:space="preserve"> </w:t>
      </w:r>
      <w:r w:rsidR="00DE1EF6" w:rsidRPr="00BB6FC3">
        <w:rPr>
          <w:rFonts w:ascii="Times New Roman" w:hAnsi="Times New Roman"/>
          <w:sz w:val="26"/>
          <w:szCs w:val="26"/>
        </w:rPr>
        <w:t xml:space="preserve">la qualità dei servizi sanitari, sempre più </w:t>
      </w:r>
      <w:r w:rsidRPr="00BB6FC3">
        <w:rPr>
          <w:rFonts w:ascii="Times New Roman" w:hAnsi="Times New Roman"/>
          <w:sz w:val="26"/>
          <w:szCs w:val="26"/>
        </w:rPr>
        <w:t>dipende</w:t>
      </w:r>
      <w:r w:rsidR="00DE1EF6" w:rsidRPr="00BB6FC3">
        <w:rPr>
          <w:rFonts w:ascii="Times New Roman" w:hAnsi="Times New Roman"/>
          <w:sz w:val="26"/>
          <w:szCs w:val="26"/>
        </w:rPr>
        <w:t xml:space="preserve">nte </w:t>
      </w:r>
      <w:r w:rsidRPr="00BB6FC3">
        <w:rPr>
          <w:rFonts w:ascii="Times New Roman" w:hAnsi="Times New Roman"/>
          <w:sz w:val="26"/>
          <w:szCs w:val="26"/>
        </w:rPr>
        <w:t>dal modo in cui riescono a garantire la centralità del paziente e a soddisfare l'esigenza degli individui di monitorare in modo auto</w:t>
      </w:r>
      <w:r w:rsidR="00555D2E" w:rsidRPr="00BB6FC3">
        <w:rPr>
          <w:rFonts w:ascii="Times New Roman" w:hAnsi="Times New Roman"/>
          <w:sz w:val="26"/>
          <w:szCs w:val="26"/>
        </w:rPr>
        <w:t>nomo il proprio stato di salute.</w:t>
      </w:r>
    </w:p>
    <w:p w:rsidR="00555D2E" w:rsidRPr="00BB6FC3" w:rsidRDefault="00555D2E" w:rsidP="00D92FC6">
      <w:pPr>
        <w:rPr>
          <w:rFonts w:ascii="Times New Roman" w:hAnsi="Times New Roman"/>
          <w:sz w:val="26"/>
          <w:szCs w:val="26"/>
        </w:rPr>
      </w:pPr>
    </w:p>
    <w:p w:rsidR="00D92FC6" w:rsidRPr="00BB6FC3" w:rsidRDefault="00DE1EF6" w:rsidP="00D92FC6">
      <w:pPr>
        <w:rPr>
          <w:rFonts w:ascii="Times New Roman" w:hAnsi="Times New Roman"/>
          <w:sz w:val="26"/>
          <w:szCs w:val="26"/>
        </w:rPr>
      </w:pPr>
      <w:r w:rsidRPr="00BB6FC3">
        <w:rPr>
          <w:rFonts w:ascii="Times New Roman" w:hAnsi="Times New Roman"/>
          <w:sz w:val="26"/>
          <w:szCs w:val="26"/>
        </w:rPr>
        <w:t>Infine l</w:t>
      </w:r>
      <w:r w:rsidR="00EF78B8" w:rsidRPr="00BB6FC3">
        <w:rPr>
          <w:rFonts w:ascii="Times New Roman" w:hAnsi="Times New Roman"/>
          <w:sz w:val="26"/>
          <w:szCs w:val="26"/>
        </w:rPr>
        <w:t xml:space="preserve">a personalizzazione delle terapie </w:t>
      </w:r>
      <w:r w:rsidRPr="00BB6FC3">
        <w:rPr>
          <w:rFonts w:ascii="Times New Roman" w:hAnsi="Times New Roman"/>
          <w:sz w:val="26"/>
          <w:szCs w:val="26"/>
        </w:rPr>
        <w:t xml:space="preserve">grazie alle aspettative che stanno generando i risultati della la ricerca </w:t>
      </w:r>
      <w:r w:rsidR="00EF78B8" w:rsidRPr="00BB6FC3">
        <w:rPr>
          <w:rFonts w:ascii="Times New Roman" w:hAnsi="Times New Roman"/>
          <w:sz w:val="26"/>
          <w:szCs w:val="26"/>
        </w:rPr>
        <w:t>, per medici e pazienti, di cure e interventi studiati ad hoc per il singolo individuo.</w:t>
      </w:r>
      <w:r w:rsidR="00555D2E" w:rsidRPr="00BB6FC3">
        <w:rPr>
          <w:rFonts w:ascii="Times New Roman" w:hAnsi="Times New Roman"/>
          <w:sz w:val="26"/>
          <w:szCs w:val="26"/>
        </w:rPr>
        <w:t xml:space="preserve"> </w:t>
      </w:r>
      <w:r w:rsidR="00EF78B8" w:rsidRPr="00BB6FC3">
        <w:rPr>
          <w:rFonts w:ascii="Times New Roman" w:hAnsi="Times New Roman"/>
          <w:sz w:val="26"/>
          <w:szCs w:val="26"/>
        </w:rPr>
        <w:t xml:space="preserve">La nuova idea progettuale si posiziona in questo scenario come un’innovativa piattaforma che coniuga funzionalità caratteristiche sia dei </w:t>
      </w:r>
      <w:proofErr w:type="spellStart"/>
      <w:r w:rsidR="00EF78B8" w:rsidRPr="00BB6FC3">
        <w:rPr>
          <w:rFonts w:ascii="Times New Roman" w:hAnsi="Times New Roman"/>
          <w:i/>
          <w:sz w:val="26"/>
          <w:szCs w:val="26"/>
        </w:rPr>
        <w:t>complex</w:t>
      </w:r>
      <w:proofErr w:type="spellEnd"/>
      <w:r w:rsidR="00EF78B8" w:rsidRPr="00BB6FC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F78B8" w:rsidRPr="00BB6FC3">
        <w:rPr>
          <w:rFonts w:ascii="Times New Roman" w:hAnsi="Times New Roman"/>
          <w:i/>
          <w:sz w:val="26"/>
          <w:szCs w:val="26"/>
        </w:rPr>
        <w:t>accessories</w:t>
      </w:r>
      <w:proofErr w:type="spellEnd"/>
      <w:r w:rsidR="00EF78B8" w:rsidRPr="00BB6FC3">
        <w:rPr>
          <w:rFonts w:ascii="Times New Roman" w:hAnsi="Times New Roman"/>
          <w:sz w:val="26"/>
          <w:szCs w:val="26"/>
        </w:rPr>
        <w:t xml:space="preserve">, sia degli </w:t>
      </w:r>
      <w:proofErr w:type="spellStart"/>
      <w:r w:rsidR="00EF78B8" w:rsidRPr="00BB6FC3">
        <w:rPr>
          <w:rFonts w:ascii="Times New Roman" w:hAnsi="Times New Roman"/>
          <w:i/>
          <w:sz w:val="26"/>
          <w:szCs w:val="26"/>
        </w:rPr>
        <w:t>smart</w:t>
      </w:r>
      <w:proofErr w:type="spellEnd"/>
      <w:r w:rsidR="00EF78B8" w:rsidRPr="00BB6FC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F78B8" w:rsidRPr="00BB6FC3">
        <w:rPr>
          <w:rFonts w:ascii="Times New Roman" w:hAnsi="Times New Roman"/>
          <w:i/>
          <w:sz w:val="26"/>
          <w:szCs w:val="26"/>
        </w:rPr>
        <w:t>wearables</w:t>
      </w:r>
      <w:proofErr w:type="spellEnd"/>
      <w:r w:rsidR="00EF78B8" w:rsidRPr="00BB6FC3">
        <w:rPr>
          <w:rFonts w:ascii="Times New Roman" w:hAnsi="Times New Roman"/>
          <w:sz w:val="26"/>
          <w:szCs w:val="26"/>
        </w:rPr>
        <w:t xml:space="preserve"> con potenzialità superiori alle attuali soluzioni. </w:t>
      </w:r>
    </w:p>
    <w:p w:rsidR="00370147" w:rsidRPr="00BB6FC3" w:rsidRDefault="00370147" w:rsidP="00D92FC6">
      <w:pPr>
        <w:rPr>
          <w:rFonts w:ascii="Times New Roman" w:eastAsia="Times New Roman" w:hAnsi="Times New Roman"/>
          <w:sz w:val="26"/>
          <w:szCs w:val="26"/>
        </w:rPr>
      </w:pPr>
    </w:p>
    <w:p w:rsidR="00D92FC6" w:rsidRPr="00BB6FC3" w:rsidRDefault="00D92FC6" w:rsidP="00D92FC6">
      <w:pPr>
        <w:rPr>
          <w:rFonts w:ascii="Times New Roman" w:hAnsi="Times New Roman"/>
          <w:sz w:val="26"/>
          <w:szCs w:val="26"/>
        </w:rPr>
      </w:pPr>
      <w:r w:rsidRPr="00BB6FC3">
        <w:rPr>
          <w:rFonts w:ascii="Times New Roman" w:eastAsia="Times New Roman" w:hAnsi="Times New Roman"/>
          <w:sz w:val="26"/>
          <w:szCs w:val="26"/>
        </w:rPr>
        <w:t>Il progetto prevede in una prima fase la realizzazione di uno studio di fattibilità che vedrà coinvolte oltre 500 cooperative sociali attive in tutta Italia che a diverso titolo si occupano di assistenza agli anziani.</w:t>
      </w:r>
      <w:r w:rsidR="00370147" w:rsidRPr="00BB6FC3">
        <w:rPr>
          <w:rFonts w:ascii="Times New Roman" w:eastAsia="Times New Roman" w:hAnsi="Times New Roman"/>
          <w:sz w:val="26"/>
          <w:szCs w:val="26"/>
        </w:rPr>
        <w:t xml:space="preserve"> Gli obiettivi sono quelli di garantire una sempre maggiore </w:t>
      </w:r>
      <w:r w:rsidR="00370147" w:rsidRPr="00BB6FC3">
        <w:rPr>
          <w:rFonts w:ascii="Times New Roman" w:hAnsi="Times New Roman"/>
          <w:sz w:val="26"/>
          <w:szCs w:val="26"/>
        </w:rPr>
        <w:t>precisione nella prevenzione e nella diagnosi di numerose patologie;</w:t>
      </w:r>
      <w:r w:rsidR="00370147" w:rsidRPr="00BB6FC3">
        <w:rPr>
          <w:rFonts w:ascii="Times New Roman" w:eastAsia="Times New Roman" w:hAnsi="Times New Roman"/>
          <w:sz w:val="26"/>
          <w:szCs w:val="26"/>
        </w:rPr>
        <w:t xml:space="preserve"> </w:t>
      </w:r>
      <w:r w:rsidR="00370147" w:rsidRPr="00BB6FC3">
        <w:rPr>
          <w:rFonts w:ascii="Times New Roman" w:hAnsi="Times New Roman"/>
          <w:sz w:val="26"/>
          <w:szCs w:val="26"/>
        </w:rPr>
        <w:t>contribuire alla sostenibilità del sistema sanitario pubblico e privato attraverso la diagnostica precoce;</w:t>
      </w:r>
      <w:r w:rsidR="00370147" w:rsidRPr="00BB6FC3">
        <w:rPr>
          <w:rFonts w:ascii="Times New Roman" w:eastAsia="Times New Roman" w:hAnsi="Times New Roman"/>
          <w:sz w:val="26"/>
          <w:szCs w:val="26"/>
        </w:rPr>
        <w:t xml:space="preserve"> </w:t>
      </w:r>
      <w:r w:rsidR="00370147" w:rsidRPr="00BB6FC3">
        <w:rPr>
          <w:rFonts w:ascii="Times New Roman" w:hAnsi="Times New Roman"/>
          <w:sz w:val="26"/>
          <w:szCs w:val="26"/>
        </w:rPr>
        <w:t>mantenere la disponibilità dei dati e delle informazioni sensibili dei cittadini-assistiti i sul territorio.</w:t>
      </w:r>
    </w:p>
    <w:p w:rsidR="00EF78B8" w:rsidRPr="00BB6FC3" w:rsidRDefault="00EF78B8" w:rsidP="00D92FC6">
      <w:pPr>
        <w:rPr>
          <w:rFonts w:ascii="Times New Roman" w:hAnsi="Times New Roman"/>
          <w:sz w:val="26"/>
          <w:szCs w:val="26"/>
        </w:rPr>
      </w:pPr>
    </w:p>
    <w:p w:rsidR="00EF78B8" w:rsidRPr="00BB6FC3" w:rsidRDefault="00EF78B8" w:rsidP="00D92FC6">
      <w:pPr>
        <w:rPr>
          <w:rFonts w:ascii="Times New Roman" w:eastAsia="Times New Roman" w:hAnsi="Times New Roman"/>
          <w:sz w:val="26"/>
          <w:szCs w:val="26"/>
        </w:rPr>
      </w:pPr>
      <w:r w:rsidRPr="00BB6FC3">
        <w:rPr>
          <w:rFonts w:ascii="Times New Roman" w:hAnsi="Times New Roman"/>
          <w:sz w:val="26"/>
          <w:szCs w:val="26"/>
        </w:rPr>
        <w:t xml:space="preserve">La tecnologia sarà progettata non come un semplice dispositivo stand-alone ma, inserita in un’architettura </w:t>
      </w:r>
      <w:proofErr w:type="spellStart"/>
      <w:r w:rsidRPr="00BB6FC3">
        <w:rPr>
          <w:rFonts w:ascii="Times New Roman" w:hAnsi="Times New Roman"/>
          <w:sz w:val="26"/>
          <w:szCs w:val="26"/>
        </w:rPr>
        <w:t>cloud</w:t>
      </w:r>
      <w:proofErr w:type="spellEnd"/>
      <w:r w:rsidRPr="00BB6FC3">
        <w:rPr>
          <w:rFonts w:ascii="Times New Roman" w:hAnsi="Times New Roman"/>
          <w:sz w:val="26"/>
          <w:szCs w:val="26"/>
        </w:rPr>
        <w:t xml:space="preserve"> con cui sarà collegata attraverso un </w:t>
      </w:r>
      <w:proofErr w:type="spellStart"/>
      <w:r w:rsidRPr="00BB6FC3">
        <w:rPr>
          <w:rFonts w:ascii="Times New Roman" w:hAnsi="Times New Roman"/>
          <w:sz w:val="26"/>
          <w:szCs w:val="26"/>
        </w:rPr>
        <w:t>device</w:t>
      </w:r>
      <w:proofErr w:type="spellEnd"/>
      <w:r w:rsidRPr="00BB6FC3">
        <w:rPr>
          <w:rFonts w:ascii="Times New Roman" w:hAnsi="Times New Roman"/>
          <w:sz w:val="26"/>
          <w:szCs w:val="26"/>
        </w:rPr>
        <w:t xml:space="preserve"> mobile dell’utilizzatore. </w:t>
      </w:r>
      <w:r w:rsidR="00DE1EF6" w:rsidRPr="00BB6FC3">
        <w:rPr>
          <w:rFonts w:ascii="Times New Roman" w:hAnsi="Times New Roman"/>
          <w:sz w:val="26"/>
          <w:szCs w:val="26"/>
        </w:rPr>
        <w:t>In questo modo il</w:t>
      </w:r>
      <w:r w:rsidRPr="00BB6FC3">
        <w:rPr>
          <w:rFonts w:ascii="Times New Roman" w:hAnsi="Times New Roman"/>
          <w:sz w:val="26"/>
          <w:szCs w:val="26"/>
        </w:rPr>
        <w:t xml:space="preserve"> dispositivo fornirà una serie di dat</w:t>
      </w:r>
      <w:r w:rsidR="00DE1EF6" w:rsidRPr="00BB6FC3">
        <w:rPr>
          <w:rFonts w:ascii="Times New Roman" w:hAnsi="Times New Roman"/>
          <w:sz w:val="26"/>
          <w:szCs w:val="26"/>
        </w:rPr>
        <w:t>i ed elaborazioni che consentiranno</w:t>
      </w:r>
      <w:r w:rsidRPr="00BB6FC3">
        <w:rPr>
          <w:rFonts w:ascii="Times New Roman" w:hAnsi="Times New Roman"/>
          <w:sz w:val="26"/>
          <w:szCs w:val="26"/>
        </w:rPr>
        <w:t xml:space="preserve"> ai professionisti e alle strutture di assistenza soc</w:t>
      </w:r>
      <w:r w:rsidR="00DE1EF6" w:rsidRPr="00BB6FC3">
        <w:rPr>
          <w:rFonts w:ascii="Times New Roman" w:hAnsi="Times New Roman"/>
          <w:sz w:val="26"/>
          <w:szCs w:val="26"/>
        </w:rPr>
        <w:t xml:space="preserve">io-sanitaria, di </w:t>
      </w:r>
      <w:r w:rsidR="00D92FC6" w:rsidRPr="00BB6FC3">
        <w:rPr>
          <w:rFonts w:ascii="Times New Roman" w:hAnsi="Times New Roman"/>
          <w:sz w:val="26"/>
          <w:szCs w:val="26"/>
        </w:rPr>
        <w:t xml:space="preserve">rafforzare la prevenzione e monitorando costantemente </w:t>
      </w:r>
      <w:r w:rsidRPr="00BB6FC3">
        <w:rPr>
          <w:rFonts w:ascii="Times New Roman" w:hAnsi="Times New Roman"/>
          <w:sz w:val="26"/>
          <w:szCs w:val="26"/>
        </w:rPr>
        <w:t xml:space="preserve">i pazienti. </w:t>
      </w:r>
    </w:p>
    <w:p w:rsidR="00AF45F8" w:rsidRDefault="00AF45F8"/>
    <w:sectPr w:rsidR="00AF45F8" w:rsidSect="00697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03E2"/>
    <w:multiLevelType w:val="hybridMultilevel"/>
    <w:tmpl w:val="3DCABA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B03BF"/>
    <w:multiLevelType w:val="hybridMultilevel"/>
    <w:tmpl w:val="ECE22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24734"/>
    <w:multiLevelType w:val="hybridMultilevel"/>
    <w:tmpl w:val="A6348DFC"/>
    <w:lvl w:ilvl="0" w:tplc="95042A56">
      <w:start w:val="1"/>
      <w:numFmt w:val="bullet"/>
      <w:pStyle w:val="P1"/>
      <w:lvlText w:val=""/>
      <w:lvlJc w:val="left"/>
      <w:pPr>
        <w:ind w:left="502" w:hanging="360"/>
      </w:pPr>
      <w:rPr>
        <w:rFonts w:ascii="Webdings" w:hAnsi="Webdings" w:hint="default"/>
        <w:color w:val="004268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78B8"/>
    <w:rsid w:val="00370147"/>
    <w:rsid w:val="003B08D5"/>
    <w:rsid w:val="00555D2E"/>
    <w:rsid w:val="00683174"/>
    <w:rsid w:val="0069759B"/>
    <w:rsid w:val="0099391A"/>
    <w:rsid w:val="00AF45F8"/>
    <w:rsid w:val="00B71FF2"/>
    <w:rsid w:val="00BB6FC3"/>
    <w:rsid w:val="00C07F10"/>
    <w:rsid w:val="00D92FC6"/>
    <w:rsid w:val="00DE1EF6"/>
    <w:rsid w:val="00E6478B"/>
    <w:rsid w:val="00E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8B8"/>
    <w:pPr>
      <w:spacing w:after="0" w:line="276" w:lineRule="auto"/>
      <w:jc w:val="both"/>
    </w:pPr>
    <w:rPr>
      <w:rFonts w:eastAsia="Calibri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qFormat/>
    <w:rsid w:val="00EF78B8"/>
    <w:pPr>
      <w:numPr>
        <w:numId w:val="1"/>
      </w:numPr>
      <w:spacing w:before="40"/>
    </w:pPr>
    <w:rPr>
      <w:rFonts w:eastAsia="Times New Roman" w:cs="Calibri"/>
    </w:rPr>
  </w:style>
  <w:style w:type="paragraph" w:styleId="Nessunaspaziatura">
    <w:name w:val="No Spacing"/>
    <w:link w:val="NessunaspaziaturaCarattere"/>
    <w:uiPriority w:val="1"/>
    <w:qFormat/>
    <w:rsid w:val="00EF78B8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F78B8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EF78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D2E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B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336BF.14D73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36BF.14D73D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Agresti</dc:creator>
  <cp:keywords/>
  <dc:description/>
  <cp:lastModifiedBy>vicinanza.g@confcooperative.it</cp:lastModifiedBy>
  <cp:revision>5</cp:revision>
  <dcterms:created xsi:type="dcterms:W3CDTF">2017-09-27T14:37:00Z</dcterms:created>
  <dcterms:modified xsi:type="dcterms:W3CDTF">2017-09-28T14:53:00Z</dcterms:modified>
</cp:coreProperties>
</file>